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15B8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TL4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77B4F">
        <w:rPr>
          <w:rFonts w:ascii="Arial" w:hAnsi="Arial" w:cs="Arial"/>
          <w:b/>
          <w:sz w:val="20"/>
          <w:szCs w:val="20"/>
        </w:rPr>
        <w:t>Annual General Mandate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15B80">
        <w:rPr>
          <w:rFonts w:ascii="Arial" w:hAnsi="Arial" w:cs="Arial"/>
          <w:sz w:val="20"/>
          <w:szCs w:val="20"/>
        </w:rPr>
        <w:t>26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15B80" w:rsidRPr="00015B80">
        <w:rPr>
          <w:rFonts w:ascii="Arial" w:hAnsi="Arial" w:cs="Arial"/>
          <w:sz w:val="20"/>
          <w:szCs w:val="20"/>
        </w:rPr>
        <w:t>Hydraulics Construction Corporation No.4</w:t>
      </w:r>
      <w:r w:rsidR="00015B8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77B4F" w:rsidRPr="00F77B4F">
        <w:rPr>
          <w:rFonts w:ascii="Arial" w:hAnsi="Arial" w:cs="Arial"/>
          <w:sz w:val="20"/>
          <w:szCs w:val="20"/>
        </w:rPr>
        <w:t xml:space="preserve">Annual General Mandate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>Article 1: Agree on the business</w:t>
      </w:r>
      <w:r>
        <w:rPr>
          <w:rFonts w:ascii="Arial" w:hAnsi="Arial" w:cs="Arial"/>
          <w:sz w:val="20"/>
          <w:szCs w:val="20"/>
        </w:rPr>
        <w:t xml:space="preserve"> results of 2019 and the plan on</w:t>
      </w:r>
      <w:r w:rsidRPr="00015B80">
        <w:rPr>
          <w:rFonts w:ascii="Arial" w:hAnsi="Arial" w:cs="Arial"/>
          <w:sz w:val="20"/>
          <w:szCs w:val="20"/>
        </w:rPr>
        <w:t xml:space="preserve"> production and business in 2020 with the following main </w:t>
      </w:r>
      <w:r>
        <w:rPr>
          <w:rFonts w:ascii="Arial" w:hAnsi="Arial" w:cs="Arial"/>
          <w:sz w:val="20"/>
          <w:szCs w:val="20"/>
        </w:rPr>
        <w:t>indicators</w:t>
      </w:r>
      <w:r w:rsidRPr="00015B80">
        <w:rPr>
          <w:rFonts w:ascii="Arial" w:hAnsi="Arial" w:cs="Arial"/>
          <w:sz w:val="20"/>
          <w:szCs w:val="20"/>
        </w:rPr>
        <w:t xml:space="preserve">: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+ Business results in 2019: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Annual revenue</w:t>
      </w:r>
      <w:r w:rsidRPr="00015B80">
        <w:rPr>
          <w:rFonts w:ascii="Arial" w:hAnsi="Arial" w:cs="Arial"/>
          <w:sz w:val="20"/>
          <w:szCs w:val="20"/>
        </w:rPr>
        <w:t xml:space="preserve"> 2019: </w:t>
      </w:r>
      <w:r w:rsidRPr="00015B80">
        <w:rPr>
          <w:rFonts w:ascii="Arial" w:hAnsi="Arial" w:cs="Arial"/>
          <w:sz w:val="20"/>
          <w:szCs w:val="20"/>
        </w:rPr>
        <w:t>VND</w:t>
      </w:r>
      <w:r w:rsidRPr="00015B80">
        <w:rPr>
          <w:rFonts w:ascii="Arial" w:hAnsi="Arial" w:cs="Arial"/>
          <w:sz w:val="20"/>
          <w:szCs w:val="20"/>
        </w:rPr>
        <w:t xml:space="preserve"> 379,421,942,848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- Profit before tax in 2019: </w:t>
      </w:r>
      <w:r w:rsidRPr="00015B80">
        <w:rPr>
          <w:rFonts w:ascii="Arial" w:hAnsi="Arial" w:cs="Arial"/>
          <w:sz w:val="20"/>
          <w:szCs w:val="20"/>
        </w:rPr>
        <w:t>VND</w:t>
      </w:r>
      <w:r w:rsidRPr="00015B80">
        <w:rPr>
          <w:rFonts w:ascii="Arial" w:hAnsi="Arial" w:cs="Arial"/>
          <w:sz w:val="20"/>
          <w:szCs w:val="20"/>
        </w:rPr>
        <w:t xml:space="preserve"> 20,359,415,636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- Profit after tax in 2019: </w:t>
      </w:r>
      <w:r w:rsidRPr="00015B80">
        <w:rPr>
          <w:rFonts w:ascii="Arial" w:hAnsi="Arial" w:cs="Arial"/>
          <w:sz w:val="20"/>
          <w:szCs w:val="20"/>
        </w:rPr>
        <w:t>VND</w:t>
      </w:r>
      <w:r w:rsidRPr="00015B80">
        <w:rPr>
          <w:rFonts w:ascii="Arial" w:hAnsi="Arial" w:cs="Arial"/>
          <w:sz w:val="20"/>
          <w:szCs w:val="20"/>
        </w:rPr>
        <w:t xml:space="preserve"> 17,389,171,292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for</w:t>
      </w:r>
      <w:r w:rsidRPr="00015B80">
        <w:rPr>
          <w:rFonts w:ascii="Arial" w:hAnsi="Arial" w:cs="Arial"/>
          <w:sz w:val="20"/>
          <w:szCs w:val="20"/>
        </w:rPr>
        <w:t xml:space="preserve"> 2019: 8.5%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+ Business plan in 2020: 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15B80">
        <w:rPr>
          <w:rFonts w:ascii="Arial" w:hAnsi="Arial" w:cs="Arial"/>
          <w:sz w:val="20"/>
          <w:szCs w:val="20"/>
        </w:rPr>
        <w:t xml:space="preserve">Revenue in 2020: VND 400 billion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Profit before tax in 2020: VND 16.</w:t>
      </w:r>
      <w:r w:rsidRPr="00015B80">
        <w:rPr>
          <w:rFonts w:ascii="Arial" w:hAnsi="Arial" w:cs="Arial"/>
          <w:sz w:val="20"/>
          <w:szCs w:val="20"/>
        </w:rPr>
        <w:t xml:space="preserve">350 billion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after tax in 20</w:t>
      </w:r>
      <w:r w:rsidRPr="00015B80">
        <w:rPr>
          <w:rFonts w:ascii="Arial" w:hAnsi="Arial" w:cs="Arial"/>
          <w:sz w:val="20"/>
          <w:szCs w:val="20"/>
        </w:rPr>
        <w:t>20: VND 13</w:t>
      </w:r>
      <w:r>
        <w:rPr>
          <w:rFonts w:ascii="Arial" w:hAnsi="Arial" w:cs="Arial"/>
          <w:sz w:val="20"/>
          <w:szCs w:val="20"/>
        </w:rPr>
        <w:t>.</w:t>
      </w:r>
      <w:r w:rsidRPr="00015B80">
        <w:rPr>
          <w:rFonts w:ascii="Arial" w:hAnsi="Arial" w:cs="Arial"/>
          <w:sz w:val="20"/>
          <w:szCs w:val="20"/>
        </w:rPr>
        <w:t xml:space="preserve">380 billion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15B80">
        <w:rPr>
          <w:rFonts w:ascii="Arial" w:hAnsi="Arial" w:cs="Arial"/>
          <w:sz w:val="20"/>
          <w:szCs w:val="20"/>
        </w:rPr>
        <w:t>Dividend payment in 2020</w:t>
      </w:r>
      <w:r>
        <w:rPr>
          <w:rFonts w:ascii="Arial" w:hAnsi="Arial" w:cs="Arial"/>
          <w:sz w:val="20"/>
          <w:szCs w:val="20"/>
        </w:rPr>
        <w:t>:</w:t>
      </w:r>
      <w:r w:rsidRPr="00015B80">
        <w:rPr>
          <w:rFonts w:ascii="Arial" w:hAnsi="Arial" w:cs="Arial"/>
          <w:sz w:val="20"/>
          <w:szCs w:val="20"/>
        </w:rPr>
        <w:t xml:space="preserve"> Not less than 6%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>Approve the reports</w:t>
      </w:r>
      <w:r w:rsidRPr="00015B80">
        <w:rPr>
          <w:rFonts w:ascii="Arial" w:hAnsi="Arial" w:cs="Arial"/>
          <w:sz w:val="20"/>
          <w:szCs w:val="20"/>
        </w:rPr>
        <w:t xml:space="preserve"> presented by the General Director, the Board of Directors and the Supervisory Board at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015B80">
        <w:rPr>
          <w:rFonts w:ascii="Arial" w:hAnsi="Arial" w:cs="Arial"/>
          <w:sz w:val="20"/>
          <w:szCs w:val="20"/>
        </w:rPr>
        <w:t>, including: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Pr="00015B80">
        <w:rPr>
          <w:rFonts w:ascii="Arial" w:hAnsi="Arial" w:cs="Arial"/>
          <w:sz w:val="20"/>
          <w:szCs w:val="20"/>
        </w:rPr>
        <w:t xml:space="preserve"> report </w:t>
      </w:r>
      <w:r>
        <w:rPr>
          <w:rFonts w:ascii="Arial" w:hAnsi="Arial" w:cs="Arial"/>
          <w:sz w:val="20"/>
          <w:szCs w:val="20"/>
        </w:rPr>
        <w:t xml:space="preserve">of the General Director </w:t>
      </w:r>
      <w:r w:rsidRPr="00015B80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audited financial statement of </w:t>
      </w:r>
      <w:r w:rsidRPr="00015B80">
        <w:rPr>
          <w:rFonts w:ascii="Arial" w:hAnsi="Arial" w:cs="Arial"/>
          <w:sz w:val="20"/>
          <w:szCs w:val="20"/>
        </w:rPr>
        <w:t>2019</w:t>
      </w:r>
      <w:r w:rsidRPr="00015B80">
        <w:rPr>
          <w:rFonts w:ascii="Arial" w:hAnsi="Arial" w:cs="Arial"/>
          <w:sz w:val="20"/>
          <w:szCs w:val="20"/>
        </w:rPr>
        <w:t>; production result</w:t>
      </w:r>
      <w:r>
        <w:rPr>
          <w:rFonts w:ascii="Arial" w:hAnsi="Arial" w:cs="Arial"/>
          <w:sz w:val="20"/>
          <w:szCs w:val="20"/>
        </w:rPr>
        <w:t>s in 2019 and operation plans for 2020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>- Report of the Board of Directo</w:t>
      </w:r>
      <w:r>
        <w:rPr>
          <w:rFonts w:ascii="Arial" w:hAnsi="Arial" w:cs="Arial"/>
          <w:sz w:val="20"/>
          <w:szCs w:val="20"/>
        </w:rPr>
        <w:t>rs in 2019 and operation plan for</w:t>
      </w:r>
      <w:r w:rsidRPr="00015B80">
        <w:rPr>
          <w:rFonts w:ascii="Arial" w:hAnsi="Arial" w:cs="Arial"/>
          <w:sz w:val="20"/>
          <w:szCs w:val="20"/>
        </w:rPr>
        <w:t xml:space="preserve"> 2020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>- Reports of the Supervisory Boa</w:t>
      </w:r>
      <w:r>
        <w:rPr>
          <w:rFonts w:ascii="Arial" w:hAnsi="Arial" w:cs="Arial"/>
          <w:sz w:val="20"/>
          <w:szCs w:val="20"/>
        </w:rPr>
        <w:t>rd in 2019 and operation plan for</w:t>
      </w:r>
      <w:r w:rsidRPr="00015B80">
        <w:rPr>
          <w:rFonts w:ascii="Arial" w:hAnsi="Arial" w:cs="Arial"/>
          <w:sz w:val="20"/>
          <w:szCs w:val="20"/>
        </w:rPr>
        <w:t xml:space="preserve"> 2020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Pr="00015B80">
        <w:rPr>
          <w:rFonts w:ascii="Arial" w:hAnsi="Arial" w:cs="Arial"/>
          <w:sz w:val="20"/>
          <w:szCs w:val="20"/>
        </w:rPr>
        <w:t xml:space="preserve"> 3: Agree to authorize the Board of Directors to select 01 of 02 auditing</w:t>
      </w:r>
      <w:r>
        <w:rPr>
          <w:rFonts w:ascii="Arial" w:hAnsi="Arial" w:cs="Arial"/>
          <w:sz w:val="20"/>
          <w:szCs w:val="20"/>
        </w:rPr>
        <w:t xml:space="preserve"> units for financial statement </w:t>
      </w:r>
      <w:r w:rsidRPr="00015B80">
        <w:rPr>
          <w:rFonts w:ascii="Arial" w:hAnsi="Arial" w:cs="Arial"/>
          <w:sz w:val="20"/>
          <w:szCs w:val="20"/>
        </w:rPr>
        <w:t>of 2020 of Hydraulics Construction Corporation No.4</w:t>
      </w:r>
      <w:r>
        <w:rPr>
          <w:rFonts w:ascii="Arial" w:hAnsi="Arial" w:cs="Arial"/>
          <w:sz w:val="20"/>
          <w:szCs w:val="20"/>
        </w:rPr>
        <w:t xml:space="preserve"> according to Proposal No. 01/ TT/ DHDCD at appropriate time in </w:t>
      </w:r>
      <w:r w:rsidRPr="00015B80">
        <w:rPr>
          <w:rFonts w:ascii="Arial" w:hAnsi="Arial" w:cs="Arial"/>
          <w:sz w:val="20"/>
          <w:szCs w:val="20"/>
        </w:rPr>
        <w:t xml:space="preserve">compliance with the current law provisions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Article 4: </w:t>
      </w:r>
      <w:r>
        <w:rPr>
          <w:rFonts w:ascii="Arial" w:hAnsi="Arial" w:cs="Arial"/>
          <w:sz w:val="20"/>
          <w:szCs w:val="20"/>
        </w:rPr>
        <w:t>Approve the Statement No. 02</w:t>
      </w:r>
      <w:r w:rsidRPr="00015B8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TT/ DHCD</w:t>
      </w:r>
      <w:r w:rsidRPr="00015B80">
        <w:rPr>
          <w:rFonts w:ascii="Arial" w:hAnsi="Arial" w:cs="Arial"/>
          <w:sz w:val="20"/>
          <w:szCs w:val="20"/>
        </w:rPr>
        <w:t xml:space="preserve"> of the Board of Directors on profit distribution in 2019</w:t>
      </w:r>
      <w:r>
        <w:rPr>
          <w:rFonts w:ascii="Arial" w:hAnsi="Arial" w:cs="Arial"/>
          <w:sz w:val="20"/>
          <w:szCs w:val="20"/>
        </w:rPr>
        <w:t xml:space="preserve"> and profit distribution plan for</w:t>
      </w:r>
      <w:r w:rsidRPr="00015B80">
        <w:rPr>
          <w:rFonts w:ascii="Arial" w:hAnsi="Arial" w:cs="Arial"/>
          <w:sz w:val="20"/>
          <w:szCs w:val="20"/>
        </w:rPr>
        <w:t xml:space="preserve"> 2020: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lastRenderedPageBreak/>
        <w:t xml:space="preserve">+ </w:t>
      </w:r>
      <w:r>
        <w:rPr>
          <w:rFonts w:ascii="Arial" w:hAnsi="Arial" w:cs="Arial"/>
          <w:sz w:val="20"/>
          <w:szCs w:val="20"/>
        </w:rPr>
        <w:t>Profit distribution for</w:t>
      </w:r>
      <w:r w:rsidRPr="00015B80">
        <w:rPr>
          <w:rFonts w:ascii="Arial" w:hAnsi="Arial" w:cs="Arial"/>
          <w:sz w:val="20"/>
          <w:szCs w:val="20"/>
        </w:rPr>
        <w:t xml:space="preserve"> 2019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Profit after tax in 2019: VND 17,389,171,292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Extraction to</w:t>
      </w:r>
      <w:r w:rsidRPr="00015B80">
        <w:rPr>
          <w:rFonts w:ascii="Arial" w:hAnsi="Arial" w:cs="Arial"/>
          <w:sz w:val="20"/>
          <w:szCs w:val="20"/>
        </w:rPr>
        <w:t xml:space="preserve"> funds: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- Reserve to supplement charter capital: VND 869,458,565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- Investment and development fund: </w:t>
      </w:r>
      <w:r w:rsidRPr="00015B80">
        <w:rPr>
          <w:rFonts w:ascii="Arial" w:hAnsi="Arial" w:cs="Arial"/>
          <w:sz w:val="20"/>
          <w:szCs w:val="20"/>
        </w:rPr>
        <w:t>VND</w:t>
      </w:r>
      <w:r w:rsidRPr="00015B80">
        <w:rPr>
          <w:rFonts w:ascii="Arial" w:hAnsi="Arial" w:cs="Arial"/>
          <w:sz w:val="20"/>
          <w:szCs w:val="20"/>
        </w:rPr>
        <w:t xml:space="preserve"> 3,303,942,545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Bonus and welfare fund: </w:t>
      </w:r>
      <w:r w:rsidRPr="00015B80">
        <w:rPr>
          <w:rFonts w:ascii="Arial" w:hAnsi="Arial" w:cs="Arial"/>
          <w:sz w:val="20"/>
          <w:szCs w:val="20"/>
        </w:rPr>
        <w:t>VND</w:t>
      </w:r>
      <w:r w:rsidRPr="00015B80">
        <w:rPr>
          <w:rFonts w:ascii="Arial" w:hAnsi="Arial" w:cs="Arial"/>
          <w:sz w:val="20"/>
          <w:szCs w:val="20"/>
        </w:rPr>
        <w:t xml:space="preserve"> 1,651,971,273 </w:t>
      </w:r>
    </w:p>
    <w:p w:rsidR="005B347F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- Dividend </w:t>
      </w:r>
      <w:r w:rsidR="005B347F">
        <w:rPr>
          <w:rFonts w:ascii="Arial" w:hAnsi="Arial" w:cs="Arial"/>
          <w:sz w:val="20"/>
          <w:szCs w:val="20"/>
        </w:rPr>
        <w:t>payment (</w:t>
      </w:r>
      <w:r w:rsidRPr="00015B80">
        <w:rPr>
          <w:rFonts w:ascii="Arial" w:hAnsi="Arial" w:cs="Arial"/>
          <w:sz w:val="20"/>
          <w:szCs w:val="20"/>
        </w:rPr>
        <w:t>8.5%</w:t>
      </w:r>
      <w:r w:rsidR="005B347F">
        <w:rPr>
          <w:rFonts w:ascii="Arial" w:hAnsi="Arial" w:cs="Arial"/>
          <w:sz w:val="20"/>
          <w:szCs w:val="20"/>
        </w:rPr>
        <w:t>):</w:t>
      </w:r>
      <w:r w:rsidRPr="00015B80">
        <w:rPr>
          <w:rFonts w:ascii="Arial" w:hAnsi="Arial" w:cs="Arial"/>
          <w:sz w:val="20"/>
          <w:szCs w:val="20"/>
        </w:rPr>
        <w:t xml:space="preserve"> </w:t>
      </w:r>
      <w:r w:rsidR="005B347F" w:rsidRPr="00015B80">
        <w:rPr>
          <w:rFonts w:ascii="Arial" w:hAnsi="Arial" w:cs="Arial"/>
          <w:sz w:val="20"/>
          <w:szCs w:val="20"/>
        </w:rPr>
        <w:t xml:space="preserve">VND </w:t>
      </w:r>
      <w:r w:rsidRPr="00015B80">
        <w:rPr>
          <w:rFonts w:ascii="Arial" w:hAnsi="Arial" w:cs="Arial"/>
          <w:sz w:val="20"/>
          <w:szCs w:val="20"/>
        </w:rPr>
        <w:t xml:space="preserve">12,459,587,300 </w:t>
      </w:r>
    </w:p>
    <w:p w:rsidR="00015B80" w:rsidRDefault="00015B80" w:rsidP="00015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5B80">
        <w:rPr>
          <w:rFonts w:ascii="Arial" w:hAnsi="Arial" w:cs="Arial"/>
          <w:sz w:val="20"/>
          <w:szCs w:val="20"/>
        </w:rPr>
        <w:t xml:space="preserve"> </w:t>
      </w:r>
      <w:r w:rsidR="005B347F">
        <w:rPr>
          <w:rFonts w:ascii="Arial" w:hAnsi="Arial" w:cs="Arial"/>
          <w:sz w:val="20"/>
          <w:szCs w:val="20"/>
        </w:rPr>
        <w:t xml:space="preserve">In </w:t>
      </w:r>
      <w:r w:rsidRPr="00015B80">
        <w:rPr>
          <w:rFonts w:ascii="Arial" w:hAnsi="Arial" w:cs="Arial"/>
          <w:sz w:val="20"/>
          <w:szCs w:val="20"/>
        </w:rPr>
        <w:t>which</w:t>
      </w:r>
      <w:r w:rsidR="005B347F">
        <w:rPr>
          <w:rFonts w:ascii="Arial" w:hAnsi="Arial" w:cs="Arial"/>
          <w:sz w:val="20"/>
          <w:szCs w:val="20"/>
        </w:rPr>
        <w:t>:</w:t>
      </w:r>
      <w:r w:rsidRPr="00015B80">
        <w:rPr>
          <w:rFonts w:ascii="Arial" w:hAnsi="Arial" w:cs="Arial"/>
          <w:sz w:val="20"/>
          <w:szCs w:val="20"/>
        </w:rPr>
        <w:t xml:space="preserve">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47F">
        <w:rPr>
          <w:rFonts w:ascii="Arial" w:hAnsi="Arial" w:cs="Arial"/>
          <w:sz w:val="20"/>
          <w:szCs w:val="20"/>
        </w:rPr>
        <w:t>+ Dividend payment from profit after tax of 2019</w:t>
      </w:r>
      <w:r>
        <w:rPr>
          <w:rFonts w:ascii="Arial" w:hAnsi="Arial" w:cs="Arial"/>
          <w:sz w:val="20"/>
          <w:szCs w:val="20"/>
        </w:rPr>
        <w:t>:</w:t>
      </w:r>
      <w:r w:rsidRPr="005B347F">
        <w:rPr>
          <w:rFonts w:ascii="Arial" w:hAnsi="Arial" w:cs="Arial"/>
          <w:sz w:val="20"/>
          <w:szCs w:val="20"/>
        </w:rPr>
        <w:t xml:space="preserve"> </w:t>
      </w:r>
      <w:r w:rsidRPr="005B347F">
        <w:rPr>
          <w:rFonts w:ascii="Arial" w:hAnsi="Arial" w:cs="Arial"/>
          <w:sz w:val="20"/>
          <w:szCs w:val="20"/>
        </w:rPr>
        <w:t>VND</w:t>
      </w:r>
      <w:r w:rsidRPr="005B347F">
        <w:rPr>
          <w:rFonts w:ascii="Arial" w:hAnsi="Arial" w:cs="Arial"/>
          <w:sz w:val="20"/>
          <w:szCs w:val="20"/>
        </w:rPr>
        <w:t xml:space="preserve"> 11,563,798,909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Dividend distribution from</w:t>
      </w:r>
      <w:r w:rsidRPr="005B347F">
        <w:rPr>
          <w:rFonts w:ascii="Arial" w:hAnsi="Arial" w:cs="Arial"/>
          <w:sz w:val="20"/>
          <w:szCs w:val="20"/>
        </w:rPr>
        <w:t xml:space="preserve"> remaining undistributed after-tax profit of the previous years</w:t>
      </w:r>
      <w:r>
        <w:rPr>
          <w:rFonts w:ascii="Arial" w:hAnsi="Arial" w:cs="Arial"/>
          <w:sz w:val="20"/>
          <w:szCs w:val="20"/>
        </w:rPr>
        <w:t>:</w:t>
      </w:r>
      <w:r w:rsidRPr="005B347F">
        <w:rPr>
          <w:rFonts w:ascii="Arial" w:hAnsi="Arial" w:cs="Arial"/>
          <w:sz w:val="20"/>
          <w:szCs w:val="20"/>
        </w:rPr>
        <w:t xml:space="preserve"> </w:t>
      </w:r>
      <w:r w:rsidRPr="005B347F">
        <w:rPr>
          <w:rFonts w:ascii="Arial" w:hAnsi="Arial" w:cs="Arial"/>
          <w:sz w:val="20"/>
          <w:szCs w:val="20"/>
        </w:rPr>
        <w:t>VND</w:t>
      </w:r>
      <w:r w:rsidRPr="005B347F">
        <w:rPr>
          <w:rFonts w:ascii="Arial" w:hAnsi="Arial" w:cs="Arial"/>
          <w:sz w:val="20"/>
          <w:szCs w:val="20"/>
        </w:rPr>
        <w:t xml:space="preserve"> 895,788,391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47F">
        <w:rPr>
          <w:rFonts w:ascii="Arial" w:hAnsi="Arial" w:cs="Arial"/>
          <w:sz w:val="20"/>
          <w:szCs w:val="20"/>
        </w:rPr>
        <w:t xml:space="preserve">+ Profit distribution plan for 2020: 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Extraction to</w:t>
      </w:r>
      <w:r w:rsidRPr="005B347F">
        <w:rPr>
          <w:rFonts w:ascii="Arial" w:hAnsi="Arial" w:cs="Arial"/>
          <w:sz w:val="20"/>
          <w:szCs w:val="20"/>
        </w:rPr>
        <w:t xml:space="preserve"> funds: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47F">
        <w:rPr>
          <w:rFonts w:ascii="Arial" w:hAnsi="Arial" w:cs="Arial"/>
          <w:sz w:val="20"/>
          <w:szCs w:val="20"/>
        </w:rPr>
        <w:t xml:space="preserve">- Reserve to supplement charter capital: 5% of profit after tax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47F">
        <w:rPr>
          <w:rFonts w:ascii="Arial" w:hAnsi="Arial" w:cs="Arial"/>
          <w:sz w:val="20"/>
          <w:szCs w:val="20"/>
        </w:rPr>
        <w:t>- Development investment</w:t>
      </w:r>
      <w:r>
        <w:rPr>
          <w:rFonts w:ascii="Arial" w:hAnsi="Arial" w:cs="Arial"/>
          <w:sz w:val="20"/>
          <w:szCs w:val="20"/>
        </w:rPr>
        <w:t xml:space="preserve"> fund: 20% (profit after tax - c</w:t>
      </w:r>
      <w:r w:rsidRPr="005B347F">
        <w:rPr>
          <w:rFonts w:ascii="Arial" w:hAnsi="Arial" w:cs="Arial"/>
          <w:sz w:val="20"/>
          <w:szCs w:val="20"/>
        </w:rPr>
        <w:t xml:space="preserve">harter capital </w:t>
      </w:r>
      <w:r w:rsidRPr="005B347F">
        <w:rPr>
          <w:rFonts w:ascii="Arial" w:hAnsi="Arial" w:cs="Arial"/>
          <w:sz w:val="20"/>
          <w:szCs w:val="20"/>
        </w:rPr>
        <w:t>supplement</w:t>
      </w:r>
      <w:r w:rsidRPr="005B347F">
        <w:rPr>
          <w:rFonts w:ascii="Arial" w:hAnsi="Arial" w:cs="Arial"/>
          <w:sz w:val="20"/>
          <w:szCs w:val="20"/>
        </w:rPr>
        <w:t xml:space="preserve"> fund)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Welfare reward fund: 10% (profit after tax - charter</w:t>
      </w:r>
      <w:r w:rsidRPr="005B347F">
        <w:rPr>
          <w:rFonts w:ascii="Arial" w:hAnsi="Arial" w:cs="Arial"/>
          <w:sz w:val="20"/>
          <w:szCs w:val="20"/>
        </w:rPr>
        <w:t xml:space="preserve"> capital supplement fund)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47F">
        <w:rPr>
          <w:rFonts w:ascii="Arial" w:hAnsi="Arial" w:cs="Arial"/>
          <w:sz w:val="20"/>
          <w:szCs w:val="20"/>
        </w:rPr>
        <w:t xml:space="preserve">- Dividend payment </w:t>
      </w:r>
      <w:r>
        <w:rPr>
          <w:rFonts w:ascii="Arial" w:hAnsi="Arial" w:cs="Arial"/>
          <w:sz w:val="20"/>
          <w:szCs w:val="20"/>
        </w:rPr>
        <w:t xml:space="preserve">for 2020: </w:t>
      </w:r>
      <w:r w:rsidRPr="005B347F">
        <w:rPr>
          <w:rFonts w:ascii="Arial" w:hAnsi="Arial" w:cs="Arial"/>
          <w:sz w:val="20"/>
          <w:szCs w:val="20"/>
        </w:rPr>
        <w:t xml:space="preserve">Not less than 6% 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Undistributed profit: the remaining</w:t>
      </w:r>
    </w:p>
    <w:p w:rsidR="005B347F" w:rsidRDefault="005B347F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47F">
        <w:rPr>
          <w:rFonts w:ascii="Arial" w:hAnsi="Arial" w:cs="Arial"/>
          <w:sz w:val="20"/>
          <w:szCs w:val="20"/>
        </w:rPr>
        <w:t xml:space="preserve">Article 5: </w:t>
      </w:r>
      <w:r>
        <w:rPr>
          <w:rFonts w:ascii="Arial" w:hAnsi="Arial" w:cs="Arial"/>
          <w:sz w:val="20"/>
          <w:szCs w:val="20"/>
        </w:rPr>
        <w:t>Approve</w:t>
      </w:r>
      <w:r w:rsidR="00E62FE1">
        <w:rPr>
          <w:rFonts w:ascii="Arial" w:hAnsi="Arial" w:cs="Arial"/>
          <w:sz w:val="20"/>
          <w:szCs w:val="20"/>
        </w:rPr>
        <w:t xml:space="preserve"> Proposal No.</w:t>
      </w:r>
      <w:r w:rsidRPr="005B347F">
        <w:rPr>
          <w:rFonts w:ascii="Arial" w:hAnsi="Arial" w:cs="Arial"/>
          <w:sz w:val="20"/>
          <w:szCs w:val="20"/>
        </w:rPr>
        <w:t>03</w:t>
      </w:r>
      <w:r w:rsidR="00E62FE1">
        <w:rPr>
          <w:rFonts w:ascii="Arial" w:hAnsi="Arial" w:cs="Arial"/>
          <w:sz w:val="20"/>
          <w:szCs w:val="20"/>
        </w:rPr>
        <w:t xml:space="preserve">/ TT/ TCT –DHCD </w:t>
      </w:r>
      <w:r w:rsidRPr="005B347F">
        <w:rPr>
          <w:rFonts w:ascii="Arial" w:hAnsi="Arial" w:cs="Arial"/>
          <w:sz w:val="20"/>
          <w:szCs w:val="20"/>
        </w:rPr>
        <w:t>of the Board of Directors of the</w:t>
      </w:r>
      <w:r w:rsidR="00E62FE1">
        <w:rPr>
          <w:rFonts w:ascii="Arial" w:hAnsi="Arial" w:cs="Arial"/>
          <w:sz w:val="20"/>
          <w:szCs w:val="20"/>
        </w:rPr>
        <w:t xml:space="preserve"> Corporation on the amendment to</w:t>
      </w:r>
      <w:r w:rsidRPr="005B347F">
        <w:rPr>
          <w:rFonts w:ascii="Arial" w:hAnsi="Arial" w:cs="Arial"/>
          <w:sz w:val="20"/>
          <w:szCs w:val="20"/>
        </w:rPr>
        <w:t xml:space="preserve"> the </w:t>
      </w:r>
      <w:r w:rsidR="00E62FE1">
        <w:rPr>
          <w:rFonts w:ascii="Arial" w:hAnsi="Arial" w:cs="Arial"/>
          <w:sz w:val="20"/>
          <w:szCs w:val="20"/>
        </w:rPr>
        <w:t>Charter</w:t>
      </w:r>
      <w:r w:rsidRPr="005B347F">
        <w:rPr>
          <w:rFonts w:ascii="Arial" w:hAnsi="Arial" w:cs="Arial"/>
          <w:sz w:val="20"/>
          <w:szCs w:val="20"/>
        </w:rPr>
        <w:t xml:space="preserve"> of the Corporation with the following cont</w:t>
      </w:r>
      <w:r w:rsidR="00E62FE1">
        <w:rPr>
          <w:rFonts w:ascii="Arial" w:hAnsi="Arial" w:cs="Arial"/>
          <w:sz w:val="20"/>
          <w:szCs w:val="20"/>
        </w:rPr>
        <w:t>ents: Supplementing article 3, s</w:t>
      </w:r>
      <w:r w:rsidRPr="005B347F">
        <w:rPr>
          <w:rFonts w:ascii="Arial" w:hAnsi="Arial" w:cs="Arial"/>
          <w:sz w:val="20"/>
          <w:szCs w:val="20"/>
        </w:rPr>
        <w:t xml:space="preserve">ection 1 to the field of business of the </w:t>
      </w:r>
      <w:r w:rsidR="00E62FE1">
        <w:rPr>
          <w:rFonts w:ascii="Arial" w:hAnsi="Arial" w:cs="Arial"/>
          <w:sz w:val="20"/>
          <w:szCs w:val="20"/>
        </w:rPr>
        <w:t>Corporation</w:t>
      </w:r>
    </w:p>
    <w:p w:rsidR="00E62FE1" w:rsidRPr="005B347F" w:rsidRDefault="00E62FE1" w:rsidP="005B34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6: The </w:t>
      </w:r>
      <w:r w:rsidRPr="00E62FE1">
        <w:rPr>
          <w:rFonts w:ascii="Arial" w:hAnsi="Arial" w:cs="Arial"/>
          <w:sz w:val="20"/>
          <w:szCs w:val="20"/>
        </w:rPr>
        <w:t>Annual General Meeting of Shareholders of 20</w:t>
      </w:r>
      <w:r>
        <w:rPr>
          <w:rFonts w:ascii="Arial" w:hAnsi="Arial" w:cs="Arial"/>
          <w:sz w:val="20"/>
          <w:szCs w:val="20"/>
        </w:rPr>
        <w:t>20 of the Corporation authorized</w:t>
      </w:r>
      <w:r w:rsidRPr="00E62FE1">
        <w:rPr>
          <w:rFonts w:ascii="Arial" w:hAnsi="Arial" w:cs="Arial"/>
          <w:sz w:val="20"/>
          <w:szCs w:val="20"/>
        </w:rPr>
        <w:t xml:space="preserve"> the Board of Directors and Supervisory Board of Hydraulics Construction Corporation No.4 to organize the </w:t>
      </w:r>
      <w:r>
        <w:rPr>
          <w:rFonts w:ascii="Arial" w:hAnsi="Arial" w:cs="Arial"/>
          <w:sz w:val="20"/>
          <w:szCs w:val="20"/>
        </w:rPr>
        <w:t>deployment</w:t>
      </w:r>
      <w:r w:rsidRPr="00E62FE1">
        <w:rPr>
          <w:rFonts w:ascii="Arial" w:hAnsi="Arial" w:cs="Arial"/>
          <w:sz w:val="20"/>
          <w:szCs w:val="20"/>
        </w:rPr>
        <w:t xml:space="preserve"> and supervision of the implementation of the </w:t>
      </w:r>
      <w:r>
        <w:rPr>
          <w:rFonts w:ascii="Arial" w:hAnsi="Arial" w:cs="Arial"/>
          <w:sz w:val="20"/>
          <w:szCs w:val="20"/>
        </w:rPr>
        <w:t>annual General Mandate.</w:t>
      </w:r>
      <w:r w:rsidRPr="00E62FE1">
        <w:rPr>
          <w:rFonts w:ascii="Arial" w:hAnsi="Arial" w:cs="Arial"/>
          <w:sz w:val="20"/>
          <w:szCs w:val="20"/>
        </w:rPr>
        <w:t xml:space="preserve"> This </w:t>
      </w:r>
      <w:r>
        <w:rPr>
          <w:rFonts w:ascii="Arial" w:hAnsi="Arial" w:cs="Arial"/>
          <w:sz w:val="20"/>
          <w:szCs w:val="20"/>
        </w:rPr>
        <w:t xml:space="preserve">annual General Mandate 2020 </w:t>
      </w:r>
      <w:r w:rsidRPr="00E62FE1">
        <w:rPr>
          <w:rFonts w:ascii="Arial" w:hAnsi="Arial" w:cs="Arial"/>
          <w:sz w:val="20"/>
          <w:szCs w:val="20"/>
        </w:rPr>
        <w:t>was approved by the Annual General Meeting of Shareholders of Hydraulics Construction Corporation No.4 with 11,584,170 voting shares</w:t>
      </w:r>
      <w:r>
        <w:rPr>
          <w:rFonts w:ascii="Arial" w:hAnsi="Arial" w:cs="Arial"/>
          <w:sz w:val="20"/>
          <w:szCs w:val="20"/>
        </w:rPr>
        <w:t>,</w:t>
      </w:r>
      <w:r w:rsidRPr="00E62FE1">
        <w:rPr>
          <w:rFonts w:ascii="Arial" w:hAnsi="Arial" w:cs="Arial"/>
          <w:sz w:val="20"/>
          <w:szCs w:val="20"/>
        </w:rPr>
        <w:t xml:space="preserve"> accounting for 100% of the total</w:t>
      </w:r>
      <w:r>
        <w:rPr>
          <w:rFonts w:ascii="Arial" w:hAnsi="Arial" w:cs="Arial"/>
          <w:sz w:val="20"/>
          <w:szCs w:val="20"/>
        </w:rPr>
        <w:t xml:space="preserve"> voting shares. The General Mandate </w:t>
      </w:r>
      <w:r w:rsidRPr="00E62FE1">
        <w:rPr>
          <w:rFonts w:ascii="Arial" w:hAnsi="Arial" w:cs="Arial"/>
          <w:sz w:val="20"/>
          <w:szCs w:val="20"/>
        </w:rPr>
        <w:t>takes effect from May 26, 2020</w:t>
      </w:r>
      <w:bookmarkStart w:id="0" w:name="_GoBack"/>
      <w:bookmarkEnd w:id="0"/>
    </w:p>
    <w:sectPr w:rsidR="00E62FE1" w:rsidRPr="005B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310"/>
    <w:multiLevelType w:val="hybridMultilevel"/>
    <w:tmpl w:val="894A7CD6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1DF8"/>
    <w:rsid w:val="00007B2E"/>
    <w:rsid w:val="00015B80"/>
    <w:rsid w:val="00022849"/>
    <w:rsid w:val="000266C2"/>
    <w:rsid w:val="000365C1"/>
    <w:rsid w:val="00050E3D"/>
    <w:rsid w:val="000603A9"/>
    <w:rsid w:val="00066452"/>
    <w:rsid w:val="00066EE1"/>
    <w:rsid w:val="00075754"/>
    <w:rsid w:val="00085D47"/>
    <w:rsid w:val="000A0B74"/>
    <w:rsid w:val="000A39AA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71CC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2433A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006"/>
    <w:rsid w:val="002E43D7"/>
    <w:rsid w:val="002E76E5"/>
    <w:rsid w:val="002E7FD0"/>
    <w:rsid w:val="002F68A9"/>
    <w:rsid w:val="00304722"/>
    <w:rsid w:val="0030503E"/>
    <w:rsid w:val="0031274D"/>
    <w:rsid w:val="00320096"/>
    <w:rsid w:val="0032185B"/>
    <w:rsid w:val="00327CF7"/>
    <w:rsid w:val="00336B31"/>
    <w:rsid w:val="0033774A"/>
    <w:rsid w:val="00341F2F"/>
    <w:rsid w:val="00353428"/>
    <w:rsid w:val="0037607E"/>
    <w:rsid w:val="00377A53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7694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BB6"/>
    <w:rsid w:val="0044702D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4E73CA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347F"/>
    <w:rsid w:val="005B40E5"/>
    <w:rsid w:val="005C57E0"/>
    <w:rsid w:val="005D3B3C"/>
    <w:rsid w:val="005D7F9C"/>
    <w:rsid w:val="005E7B32"/>
    <w:rsid w:val="005F7ED5"/>
    <w:rsid w:val="006000D8"/>
    <w:rsid w:val="00611271"/>
    <w:rsid w:val="0063035E"/>
    <w:rsid w:val="0063581B"/>
    <w:rsid w:val="006374A1"/>
    <w:rsid w:val="00641E78"/>
    <w:rsid w:val="00653D82"/>
    <w:rsid w:val="00662E88"/>
    <w:rsid w:val="00664834"/>
    <w:rsid w:val="00677CB8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076A6"/>
    <w:rsid w:val="00710F35"/>
    <w:rsid w:val="007218D0"/>
    <w:rsid w:val="007228FB"/>
    <w:rsid w:val="00732DC3"/>
    <w:rsid w:val="007332B1"/>
    <w:rsid w:val="007336C9"/>
    <w:rsid w:val="0073373F"/>
    <w:rsid w:val="00744587"/>
    <w:rsid w:val="00745D9A"/>
    <w:rsid w:val="00747AF7"/>
    <w:rsid w:val="00750F3E"/>
    <w:rsid w:val="00757555"/>
    <w:rsid w:val="00764908"/>
    <w:rsid w:val="0077456B"/>
    <w:rsid w:val="00781EB4"/>
    <w:rsid w:val="00795480"/>
    <w:rsid w:val="007A072F"/>
    <w:rsid w:val="007A1FCC"/>
    <w:rsid w:val="007A3C3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61B3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ADE"/>
    <w:rsid w:val="00AC128D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38DF"/>
    <w:rsid w:val="00B7408A"/>
    <w:rsid w:val="00B9656C"/>
    <w:rsid w:val="00BA1F12"/>
    <w:rsid w:val="00BA2434"/>
    <w:rsid w:val="00BA2DBC"/>
    <w:rsid w:val="00BA3FB7"/>
    <w:rsid w:val="00BB149F"/>
    <w:rsid w:val="00BB2980"/>
    <w:rsid w:val="00BB7147"/>
    <w:rsid w:val="00BD3CCA"/>
    <w:rsid w:val="00BD6721"/>
    <w:rsid w:val="00BD6969"/>
    <w:rsid w:val="00BF0485"/>
    <w:rsid w:val="00C12EC1"/>
    <w:rsid w:val="00C220E2"/>
    <w:rsid w:val="00C2280B"/>
    <w:rsid w:val="00C26F1A"/>
    <w:rsid w:val="00C32F3A"/>
    <w:rsid w:val="00C33F82"/>
    <w:rsid w:val="00C357D3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46DA"/>
    <w:rsid w:val="00E17016"/>
    <w:rsid w:val="00E20A0F"/>
    <w:rsid w:val="00E24F0A"/>
    <w:rsid w:val="00E27923"/>
    <w:rsid w:val="00E47B26"/>
    <w:rsid w:val="00E51F4E"/>
    <w:rsid w:val="00E53A5C"/>
    <w:rsid w:val="00E5565D"/>
    <w:rsid w:val="00E62FE1"/>
    <w:rsid w:val="00E65132"/>
    <w:rsid w:val="00E7691C"/>
    <w:rsid w:val="00E96289"/>
    <w:rsid w:val="00E96D65"/>
    <w:rsid w:val="00EA4C28"/>
    <w:rsid w:val="00EC36C7"/>
    <w:rsid w:val="00EC37DE"/>
    <w:rsid w:val="00ED3B40"/>
    <w:rsid w:val="00ED6D41"/>
    <w:rsid w:val="00EF091F"/>
    <w:rsid w:val="00EF47D6"/>
    <w:rsid w:val="00F268FB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77B4F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440B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284</cp:revision>
  <dcterms:created xsi:type="dcterms:W3CDTF">2019-10-16T10:03:00Z</dcterms:created>
  <dcterms:modified xsi:type="dcterms:W3CDTF">2020-05-30T14:50:00Z</dcterms:modified>
</cp:coreProperties>
</file>